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69" w:rsidRDefault="003F7F69" w:rsidP="003F7F69">
      <w:pPr>
        <w:pStyle w:val="Textosinformato"/>
        <w:jc w:val="both"/>
        <w:rPr>
          <w:rFonts w:ascii="Arial" w:hAnsi="Arial" w:cs="Arial"/>
          <w:b/>
          <w:sz w:val="22"/>
          <w:szCs w:val="22"/>
        </w:rPr>
      </w:pPr>
      <w:r>
        <w:rPr>
          <w:rFonts w:ascii="Arial" w:hAnsi="Arial" w:cs="Arial"/>
          <w:b/>
          <w:sz w:val="22"/>
          <w:szCs w:val="22"/>
        </w:rPr>
        <w:t>UNIVERSIDAD NACIONAL DE SALTA</w:t>
      </w:r>
    </w:p>
    <w:p w:rsidR="003F7F69" w:rsidRDefault="003F7F69" w:rsidP="003F7F69">
      <w:pPr>
        <w:pStyle w:val="Textosinformato"/>
        <w:jc w:val="both"/>
        <w:rPr>
          <w:rFonts w:ascii="Arial" w:hAnsi="Arial" w:cs="Arial"/>
          <w:b/>
          <w:sz w:val="22"/>
          <w:szCs w:val="22"/>
        </w:rPr>
      </w:pPr>
      <w:r>
        <w:rPr>
          <w:rFonts w:ascii="Arial" w:hAnsi="Arial" w:cs="Arial"/>
          <w:b/>
          <w:sz w:val="22"/>
          <w:szCs w:val="22"/>
        </w:rPr>
        <w:t>FACULTAD DE CIENCIAS ECONOMICAS, JURIDICAS Y SOCIALES</w:t>
      </w:r>
    </w:p>
    <w:p w:rsidR="003F7F69" w:rsidRDefault="003F7F69" w:rsidP="003F7F69">
      <w:pPr>
        <w:pStyle w:val="Textosinformato"/>
        <w:jc w:val="both"/>
        <w:rPr>
          <w:rFonts w:ascii="Arial" w:hAnsi="Arial" w:cs="Arial"/>
          <w:b/>
          <w:sz w:val="22"/>
          <w:szCs w:val="22"/>
        </w:rPr>
      </w:pPr>
      <w:r>
        <w:rPr>
          <w:rFonts w:ascii="Arial" w:hAnsi="Arial" w:cs="Arial"/>
          <w:b/>
          <w:sz w:val="22"/>
          <w:szCs w:val="22"/>
        </w:rPr>
        <w:t>CATEDRA: ADMINISTRACION  FINANCIERA DE EMPRESAS II</w:t>
      </w:r>
    </w:p>
    <w:p w:rsidR="003F7F69" w:rsidRDefault="003F7F69" w:rsidP="003F7F69">
      <w:pPr>
        <w:pStyle w:val="Textosinformato"/>
        <w:jc w:val="both"/>
        <w:rPr>
          <w:rFonts w:ascii="Arial" w:hAnsi="Arial" w:cs="Arial"/>
          <w:b/>
          <w:sz w:val="22"/>
          <w:szCs w:val="22"/>
        </w:rPr>
      </w:pPr>
      <w:r>
        <w:rPr>
          <w:rFonts w:ascii="Arial" w:hAnsi="Arial" w:cs="Arial"/>
          <w:b/>
          <w:sz w:val="22"/>
          <w:szCs w:val="22"/>
        </w:rPr>
        <w:t xml:space="preserve">UNIDAD </w:t>
      </w:r>
      <w:r w:rsidR="002D6A7B">
        <w:rPr>
          <w:rFonts w:ascii="Arial" w:hAnsi="Arial" w:cs="Arial"/>
          <w:b/>
          <w:sz w:val="22"/>
          <w:szCs w:val="22"/>
        </w:rPr>
        <w:t>V</w:t>
      </w:r>
      <w:r>
        <w:rPr>
          <w:rFonts w:ascii="Arial" w:hAnsi="Arial" w:cs="Arial"/>
          <w:b/>
          <w:sz w:val="22"/>
          <w:szCs w:val="22"/>
        </w:rPr>
        <w:t xml:space="preserve">I: </w:t>
      </w:r>
      <w:r w:rsidR="002D6A7B">
        <w:rPr>
          <w:rFonts w:ascii="Arial" w:hAnsi="Arial" w:cs="Arial"/>
          <w:b/>
          <w:sz w:val="22"/>
          <w:szCs w:val="22"/>
        </w:rPr>
        <w:t xml:space="preserve">EL RIESGO Y LA INCERTIDUMBRE EN LAS </w:t>
      </w:r>
      <w:r>
        <w:rPr>
          <w:rFonts w:ascii="Arial" w:hAnsi="Arial" w:cs="Arial"/>
          <w:b/>
          <w:sz w:val="22"/>
          <w:szCs w:val="22"/>
        </w:rPr>
        <w:t xml:space="preserve">DECISIONES </w:t>
      </w:r>
      <w:r w:rsidR="002D6A7B">
        <w:rPr>
          <w:rFonts w:ascii="Arial" w:hAnsi="Arial" w:cs="Arial"/>
          <w:b/>
          <w:sz w:val="22"/>
          <w:szCs w:val="22"/>
        </w:rPr>
        <w:t>FINANCIERAS</w:t>
      </w:r>
    </w:p>
    <w:p w:rsidR="003F7F69" w:rsidRDefault="003F7F69" w:rsidP="003F7F69">
      <w:pPr>
        <w:pStyle w:val="Textosinformato"/>
        <w:jc w:val="both"/>
        <w:rPr>
          <w:rFonts w:ascii="Arial" w:hAnsi="Arial" w:cs="Arial"/>
          <w:b/>
          <w:sz w:val="22"/>
          <w:szCs w:val="22"/>
        </w:rPr>
      </w:pPr>
      <w:r>
        <w:rPr>
          <w:rFonts w:ascii="Arial" w:hAnsi="Arial" w:cs="Arial"/>
          <w:b/>
          <w:sz w:val="22"/>
          <w:szCs w:val="22"/>
        </w:rPr>
        <w:t>PLAN DE CONTINGENCIA 2020</w:t>
      </w:r>
    </w:p>
    <w:p w:rsidR="003F7F69" w:rsidRDefault="003F7F69" w:rsidP="003F7F69">
      <w:pPr>
        <w:pStyle w:val="Textosinformato"/>
        <w:jc w:val="both"/>
        <w:rPr>
          <w:rFonts w:ascii="Arial" w:hAnsi="Arial" w:cs="Arial"/>
          <w:sz w:val="22"/>
          <w:szCs w:val="22"/>
        </w:rPr>
      </w:pPr>
    </w:p>
    <w:p w:rsidR="003F7F69" w:rsidRDefault="00437316" w:rsidP="002D6A7B">
      <w:pPr>
        <w:pStyle w:val="Textosinformato"/>
        <w:jc w:val="center"/>
        <w:rPr>
          <w:rFonts w:ascii="Arial" w:hAnsi="Arial" w:cs="Arial"/>
          <w:b/>
          <w:sz w:val="22"/>
          <w:szCs w:val="22"/>
          <w:u w:val="single"/>
        </w:rPr>
      </w:pPr>
      <w:r>
        <w:rPr>
          <w:rFonts w:ascii="Arial" w:hAnsi="Arial" w:cs="Arial"/>
          <w:b/>
          <w:sz w:val="22"/>
          <w:szCs w:val="22"/>
          <w:u w:val="single"/>
        </w:rPr>
        <w:t xml:space="preserve">SOLUCION - </w:t>
      </w:r>
      <w:r w:rsidR="003F7F69">
        <w:rPr>
          <w:rFonts w:ascii="Arial" w:hAnsi="Arial" w:cs="Arial"/>
          <w:b/>
          <w:sz w:val="22"/>
          <w:szCs w:val="22"/>
          <w:u w:val="single"/>
        </w:rPr>
        <w:t xml:space="preserve">FORMACION </w:t>
      </w:r>
      <w:r w:rsidR="002D6A7B">
        <w:rPr>
          <w:rFonts w:ascii="Arial" w:hAnsi="Arial" w:cs="Arial"/>
          <w:b/>
          <w:sz w:val="22"/>
          <w:szCs w:val="22"/>
          <w:u w:val="single"/>
        </w:rPr>
        <w:t>PRÁCTICA</w:t>
      </w:r>
      <w:r w:rsidR="001A55A7">
        <w:rPr>
          <w:rFonts w:ascii="Arial" w:hAnsi="Arial" w:cs="Arial"/>
          <w:b/>
          <w:sz w:val="22"/>
          <w:szCs w:val="22"/>
          <w:u w:val="single"/>
        </w:rPr>
        <w:t xml:space="preserve"> T I</w:t>
      </w:r>
    </w:p>
    <w:p w:rsidR="00D25028" w:rsidRDefault="00D25028" w:rsidP="00F646A3">
      <w:pPr>
        <w:spacing w:after="0" w:line="240" w:lineRule="auto"/>
        <w:jc w:val="both"/>
        <w:rPr>
          <w:rFonts w:ascii="Arial" w:hAnsi="Arial" w:cs="Arial"/>
          <w:lang w:val="es-ES_tradnl"/>
        </w:rPr>
      </w:pPr>
    </w:p>
    <w:p w:rsidR="00437316" w:rsidRDefault="00437316" w:rsidP="003F7F69">
      <w:pPr>
        <w:spacing w:after="0" w:line="240" w:lineRule="auto"/>
        <w:jc w:val="both"/>
        <w:rPr>
          <w:rFonts w:ascii="Arial" w:hAnsi="Arial" w:cs="Arial"/>
          <w:b/>
          <w:u w:val="single"/>
          <w:lang w:val="es-ES_tradnl"/>
        </w:rPr>
      </w:pPr>
    </w:p>
    <w:p w:rsidR="003F7F69" w:rsidRDefault="003F7F69" w:rsidP="003F7F69">
      <w:pPr>
        <w:spacing w:after="0" w:line="240" w:lineRule="auto"/>
        <w:jc w:val="both"/>
        <w:rPr>
          <w:rFonts w:ascii="Arial" w:hAnsi="Arial" w:cs="Arial"/>
          <w:b/>
          <w:u w:val="single"/>
          <w:lang w:val="es-ES_tradnl"/>
        </w:rPr>
      </w:pPr>
      <w:r>
        <w:rPr>
          <w:rFonts w:ascii="Arial" w:hAnsi="Arial" w:cs="Arial"/>
          <w:b/>
          <w:u w:val="single"/>
          <w:lang w:val="es-ES_tradnl"/>
        </w:rPr>
        <w:t>SE PIDE</w:t>
      </w:r>
      <w:r w:rsidR="009E6F05">
        <w:rPr>
          <w:rFonts w:ascii="Arial" w:hAnsi="Arial" w:cs="Arial"/>
          <w:b/>
          <w:u w:val="single"/>
          <w:lang w:val="es-ES_tradnl"/>
        </w:rPr>
        <w:t xml:space="preserve"> INFORME</w:t>
      </w:r>
      <w:r>
        <w:rPr>
          <w:rFonts w:ascii="Arial" w:hAnsi="Arial" w:cs="Arial"/>
          <w:b/>
          <w:u w:val="single"/>
          <w:lang w:val="es-ES_tradnl"/>
        </w:rPr>
        <w:t>:</w:t>
      </w:r>
    </w:p>
    <w:p w:rsidR="003F7F69" w:rsidRDefault="003F7F69" w:rsidP="003F7F69">
      <w:pPr>
        <w:spacing w:after="0" w:line="240" w:lineRule="auto"/>
        <w:jc w:val="both"/>
        <w:rPr>
          <w:rFonts w:ascii="Arial" w:hAnsi="Arial" w:cs="Arial"/>
          <w:b/>
          <w:u w:val="single"/>
          <w:lang w:val="es-ES_tradnl"/>
        </w:rPr>
      </w:pPr>
    </w:p>
    <w:p w:rsidR="00437316" w:rsidRDefault="00437316" w:rsidP="009E6F05">
      <w:pPr>
        <w:spacing w:after="0" w:line="240" w:lineRule="auto"/>
        <w:jc w:val="both"/>
        <w:rPr>
          <w:rFonts w:ascii="Arial" w:hAnsi="Arial" w:cs="Arial"/>
          <w:lang w:val="es-ES_tradnl"/>
        </w:rPr>
      </w:pPr>
    </w:p>
    <w:p w:rsidR="009E6F05" w:rsidRPr="0035235B" w:rsidRDefault="009E6F05" w:rsidP="009E6F05">
      <w:pPr>
        <w:spacing w:after="0" w:line="240" w:lineRule="auto"/>
        <w:jc w:val="both"/>
        <w:rPr>
          <w:rFonts w:ascii="Arial" w:hAnsi="Arial" w:cs="Arial"/>
          <w:b/>
          <w:lang w:val="es-ES_tradnl"/>
        </w:rPr>
      </w:pPr>
      <w:r w:rsidRPr="0035235B">
        <w:rPr>
          <w:rFonts w:ascii="Arial" w:hAnsi="Arial" w:cs="Arial"/>
          <w:b/>
          <w:lang w:val="es-ES_tradnl"/>
        </w:rPr>
        <w:t>Cuál fue el sector más riesgoso y en base a qué elementos llega a su conclusión.</w:t>
      </w:r>
    </w:p>
    <w:p w:rsidR="00F46688" w:rsidRDefault="00F46688" w:rsidP="00F46688">
      <w:pPr>
        <w:spacing w:after="0" w:line="240" w:lineRule="auto"/>
        <w:jc w:val="both"/>
        <w:rPr>
          <w:rFonts w:ascii="Arial" w:hAnsi="Arial" w:cs="Arial"/>
          <w:lang w:val="es-ES_tradnl"/>
        </w:rPr>
      </w:pPr>
    </w:p>
    <w:p w:rsidR="00F46688" w:rsidRDefault="00F46688" w:rsidP="00F46688">
      <w:pPr>
        <w:spacing w:after="0" w:line="240" w:lineRule="auto"/>
        <w:jc w:val="both"/>
        <w:rPr>
          <w:rFonts w:ascii="Arial" w:hAnsi="Arial" w:cs="Arial"/>
          <w:lang w:val="es-ES_tradnl"/>
        </w:rPr>
      </w:pPr>
      <w:r>
        <w:rPr>
          <w:rFonts w:ascii="Arial" w:hAnsi="Arial" w:cs="Arial"/>
          <w:lang w:val="es-ES_tradnl"/>
        </w:rPr>
        <w:t>Según el desvío de cada serie el sector más riesgoso es el 1</w:t>
      </w:r>
    </w:p>
    <w:p w:rsidR="00437316" w:rsidRDefault="00437316" w:rsidP="009E6F05">
      <w:pPr>
        <w:spacing w:after="0" w:line="240" w:lineRule="auto"/>
        <w:jc w:val="both"/>
        <w:rPr>
          <w:rFonts w:ascii="Arial" w:hAnsi="Arial" w:cs="Arial"/>
          <w:lang w:val="es-ES_tradnl"/>
        </w:rPr>
      </w:pPr>
    </w:p>
    <w:tbl>
      <w:tblPr>
        <w:tblStyle w:val="Tablaconcuadrcula"/>
        <w:tblW w:w="0" w:type="auto"/>
        <w:tblLook w:val="04A0" w:firstRow="1" w:lastRow="0" w:firstColumn="1" w:lastColumn="0" w:noHBand="0" w:noVBand="1"/>
      </w:tblPr>
      <w:tblGrid>
        <w:gridCol w:w="2831"/>
        <w:gridCol w:w="2831"/>
        <w:gridCol w:w="2832"/>
      </w:tblGrid>
      <w:tr w:rsidR="00437316" w:rsidTr="00437316">
        <w:tc>
          <w:tcPr>
            <w:tcW w:w="2831" w:type="dxa"/>
          </w:tcPr>
          <w:p w:rsidR="00437316" w:rsidRDefault="00437316" w:rsidP="00537F41">
            <w:pPr>
              <w:spacing w:after="0" w:line="240" w:lineRule="auto"/>
              <w:jc w:val="center"/>
              <w:rPr>
                <w:rFonts w:ascii="Arial" w:hAnsi="Arial" w:cs="Arial"/>
                <w:lang w:val="es-ES_tradnl"/>
              </w:rPr>
            </w:pPr>
            <w:r>
              <w:rPr>
                <w:rFonts w:ascii="Arial" w:hAnsi="Arial" w:cs="Arial"/>
                <w:lang w:val="es-ES_tradnl"/>
              </w:rPr>
              <w:t>INDICE GENERAL</w:t>
            </w:r>
          </w:p>
        </w:tc>
        <w:tc>
          <w:tcPr>
            <w:tcW w:w="2831" w:type="dxa"/>
          </w:tcPr>
          <w:p w:rsidR="00437316" w:rsidRDefault="00437316" w:rsidP="00537F41">
            <w:pPr>
              <w:spacing w:after="0" w:line="240" w:lineRule="auto"/>
              <w:jc w:val="center"/>
              <w:rPr>
                <w:rFonts w:ascii="Arial" w:hAnsi="Arial" w:cs="Arial"/>
                <w:lang w:val="es-ES_tradnl"/>
              </w:rPr>
            </w:pPr>
            <w:r>
              <w:rPr>
                <w:rFonts w:ascii="Arial" w:hAnsi="Arial" w:cs="Arial"/>
                <w:lang w:val="es-ES_tradnl"/>
              </w:rPr>
              <w:t>SECTOR 1</w:t>
            </w:r>
          </w:p>
        </w:tc>
        <w:tc>
          <w:tcPr>
            <w:tcW w:w="2832" w:type="dxa"/>
          </w:tcPr>
          <w:p w:rsidR="00437316" w:rsidRDefault="00437316" w:rsidP="00537F41">
            <w:pPr>
              <w:spacing w:after="0" w:line="240" w:lineRule="auto"/>
              <w:jc w:val="center"/>
              <w:rPr>
                <w:rFonts w:ascii="Arial" w:hAnsi="Arial" w:cs="Arial"/>
                <w:lang w:val="es-ES_tradnl"/>
              </w:rPr>
            </w:pPr>
            <w:r>
              <w:rPr>
                <w:rFonts w:ascii="Arial" w:hAnsi="Arial" w:cs="Arial"/>
                <w:lang w:val="es-ES_tradnl"/>
              </w:rPr>
              <w:t>SECTOR 2</w:t>
            </w:r>
          </w:p>
        </w:tc>
      </w:tr>
      <w:tr w:rsidR="00437316" w:rsidTr="00437316">
        <w:tc>
          <w:tcPr>
            <w:tcW w:w="2831" w:type="dxa"/>
          </w:tcPr>
          <w:p w:rsidR="00437316" w:rsidRDefault="00D526A3" w:rsidP="00537F41">
            <w:pPr>
              <w:spacing w:after="0" w:line="240" w:lineRule="auto"/>
              <w:jc w:val="center"/>
              <w:rPr>
                <w:rFonts w:ascii="Arial" w:hAnsi="Arial" w:cs="Arial"/>
                <w:lang w:val="es-ES_tradnl"/>
              </w:rPr>
            </w:pPr>
            <w:r>
              <w:rPr>
                <w:rFonts w:ascii="Arial" w:hAnsi="Arial" w:cs="Arial"/>
                <w:lang w:val="es-ES_tradnl"/>
              </w:rPr>
              <w:t>4.62%</w:t>
            </w:r>
          </w:p>
        </w:tc>
        <w:tc>
          <w:tcPr>
            <w:tcW w:w="2831" w:type="dxa"/>
          </w:tcPr>
          <w:p w:rsidR="00437316" w:rsidRDefault="00D526A3" w:rsidP="00537F41">
            <w:pPr>
              <w:spacing w:after="0" w:line="240" w:lineRule="auto"/>
              <w:jc w:val="center"/>
              <w:rPr>
                <w:rFonts w:ascii="Arial" w:hAnsi="Arial" w:cs="Arial"/>
                <w:lang w:val="es-ES_tradnl"/>
              </w:rPr>
            </w:pPr>
            <w:r>
              <w:rPr>
                <w:rFonts w:ascii="Arial" w:hAnsi="Arial" w:cs="Arial"/>
                <w:lang w:val="es-ES_tradnl"/>
              </w:rPr>
              <w:t>6.83%</w:t>
            </w:r>
          </w:p>
        </w:tc>
        <w:tc>
          <w:tcPr>
            <w:tcW w:w="2832" w:type="dxa"/>
          </w:tcPr>
          <w:p w:rsidR="00437316" w:rsidRDefault="00683CCF" w:rsidP="00537F41">
            <w:pPr>
              <w:spacing w:after="0" w:line="240" w:lineRule="auto"/>
              <w:jc w:val="center"/>
              <w:rPr>
                <w:rFonts w:ascii="Arial" w:hAnsi="Arial" w:cs="Arial"/>
                <w:lang w:val="es-ES_tradnl"/>
              </w:rPr>
            </w:pPr>
            <w:r>
              <w:rPr>
                <w:rFonts w:ascii="Arial" w:hAnsi="Arial" w:cs="Arial"/>
                <w:lang w:val="es-ES_tradnl"/>
              </w:rPr>
              <w:t>2</w:t>
            </w:r>
            <w:r w:rsidR="00D526A3">
              <w:rPr>
                <w:rFonts w:ascii="Arial" w:hAnsi="Arial" w:cs="Arial"/>
                <w:lang w:val="es-ES_tradnl"/>
              </w:rPr>
              <w:t>.</w:t>
            </w:r>
            <w:r>
              <w:rPr>
                <w:rFonts w:ascii="Arial" w:hAnsi="Arial" w:cs="Arial"/>
                <w:lang w:val="es-ES_tradnl"/>
              </w:rPr>
              <w:t>71</w:t>
            </w:r>
            <w:r w:rsidR="00D526A3">
              <w:rPr>
                <w:rFonts w:ascii="Arial" w:hAnsi="Arial" w:cs="Arial"/>
                <w:lang w:val="es-ES_tradnl"/>
              </w:rPr>
              <w:t>%</w:t>
            </w:r>
          </w:p>
        </w:tc>
      </w:tr>
    </w:tbl>
    <w:p w:rsidR="00437316" w:rsidRDefault="00437316" w:rsidP="009E6F05">
      <w:pPr>
        <w:spacing w:after="0" w:line="240" w:lineRule="auto"/>
        <w:jc w:val="both"/>
        <w:rPr>
          <w:rFonts w:ascii="Arial" w:hAnsi="Arial" w:cs="Arial"/>
          <w:lang w:val="es-ES_tradnl"/>
        </w:rPr>
      </w:pPr>
    </w:p>
    <w:p w:rsidR="00F46688" w:rsidRDefault="00F46688" w:rsidP="00F46688">
      <w:pPr>
        <w:spacing w:after="0" w:line="240" w:lineRule="auto"/>
        <w:jc w:val="both"/>
        <w:rPr>
          <w:rFonts w:ascii="Arial" w:hAnsi="Arial" w:cs="Arial"/>
          <w:lang w:val="es-ES_tradnl"/>
        </w:rPr>
      </w:pPr>
    </w:p>
    <w:p w:rsidR="00F46688" w:rsidRDefault="00F46688" w:rsidP="00F46688">
      <w:pPr>
        <w:spacing w:after="0" w:line="240" w:lineRule="auto"/>
        <w:jc w:val="both"/>
        <w:rPr>
          <w:rFonts w:ascii="Arial" w:hAnsi="Arial" w:cs="Arial"/>
          <w:lang w:val="es-ES_tradnl"/>
        </w:rPr>
      </w:pPr>
      <w:r>
        <w:rPr>
          <w:rFonts w:ascii="Arial" w:hAnsi="Arial" w:cs="Arial"/>
          <w:lang w:val="es-ES_tradnl"/>
        </w:rPr>
        <w:t>Complementando con el coeficiente de variación el mercado fue más riesgoso que estos dos sectores</w:t>
      </w:r>
    </w:p>
    <w:p w:rsidR="00D526A3" w:rsidRDefault="00D526A3" w:rsidP="009E6F05">
      <w:pPr>
        <w:spacing w:after="0" w:line="240" w:lineRule="auto"/>
        <w:jc w:val="both"/>
        <w:rPr>
          <w:rFonts w:ascii="Arial" w:hAnsi="Arial" w:cs="Arial"/>
          <w:lang w:val="es-ES_tradnl"/>
        </w:rPr>
      </w:pPr>
    </w:p>
    <w:tbl>
      <w:tblPr>
        <w:tblStyle w:val="Tablaconcuadrcula"/>
        <w:tblW w:w="0" w:type="auto"/>
        <w:tblLook w:val="04A0" w:firstRow="1" w:lastRow="0" w:firstColumn="1" w:lastColumn="0" w:noHBand="0" w:noVBand="1"/>
      </w:tblPr>
      <w:tblGrid>
        <w:gridCol w:w="2831"/>
        <w:gridCol w:w="2831"/>
        <w:gridCol w:w="2832"/>
      </w:tblGrid>
      <w:tr w:rsidR="00D526A3" w:rsidTr="00D526A3">
        <w:tc>
          <w:tcPr>
            <w:tcW w:w="2831" w:type="dxa"/>
          </w:tcPr>
          <w:p w:rsidR="00D526A3" w:rsidRDefault="00D526A3" w:rsidP="006B2264">
            <w:pPr>
              <w:spacing w:after="0" w:line="240" w:lineRule="auto"/>
              <w:jc w:val="center"/>
              <w:rPr>
                <w:rFonts w:ascii="Arial" w:hAnsi="Arial" w:cs="Arial"/>
                <w:lang w:val="es-ES_tradnl"/>
              </w:rPr>
            </w:pPr>
            <w:r>
              <w:rPr>
                <w:rFonts w:ascii="Arial" w:hAnsi="Arial" w:cs="Arial"/>
                <w:lang w:val="es-ES_tradnl"/>
              </w:rPr>
              <w:t>INDICE GENERAL</w:t>
            </w:r>
          </w:p>
        </w:tc>
        <w:tc>
          <w:tcPr>
            <w:tcW w:w="2831" w:type="dxa"/>
          </w:tcPr>
          <w:p w:rsidR="00D526A3" w:rsidRDefault="00D526A3" w:rsidP="006B2264">
            <w:pPr>
              <w:spacing w:after="0" w:line="240" w:lineRule="auto"/>
              <w:jc w:val="center"/>
              <w:rPr>
                <w:rFonts w:ascii="Arial" w:hAnsi="Arial" w:cs="Arial"/>
                <w:lang w:val="es-ES_tradnl"/>
              </w:rPr>
            </w:pPr>
            <w:r>
              <w:rPr>
                <w:rFonts w:ascii="Arial" w:hAnsi="Arial" w:cs="Arial"/>
                <w:lang w:val="es-ES_tradnl"/>
              </w:rPr>
              <w:t>SECTOR 1</w:t>
            </w:r>
          </w:p>
        </w:tc>
        <w:tc>
          <w:tcPr>
            <w:tcW w:w="2832" w:type="dxa"/>
          </w:tcPr>
          <w:p w:rsidR="00D526A3" w:rsidRDefault="00D526A3" w:rsidP="006B2264">
            <w:pPr>
              <w:spacing w:after="0" w:line="240" w:lineRule="auto"/>
              <w:jc w:val="center"/>
              <w:rPr>
                <w:rFonts w:ascii="Arial" w:hAnsi="Arial" w:cs="Arial"/>
                <w:lang w:val="es-ES_tradnl"/>
              </w:rPr>
            </w:pPr>
            <w:r>
              <w:rPr>
                <w:rFonts w:ascii="Arial" w:hAnsi="Arial" w:cs="Arial"/>
                <w:lang w:val="es-ES_tradnl"/>
              </w:rPr>
              <w:t>SECTOR 2</w:t>
            </w:r>
          </w:p>
        </w:tc>
      </w:tr>
      <w:tr w:rsidR="00D526A3" w:rsidTr="00D526A3">
        <w:tc>
          <w:tcPr>
            <w:tcW w:w="2831" w:type="dxa"/>
          </w:tcPr>
          <w:p w:rsidR="00D526A3" w:rsidRDefault="00D526A3" w:rsidP="00537F41">
            <w:pPr>
              <w:spacing w:after="0" w:line="240" w:lineRule="auto"/>
              <w:jc w:val="center"/>
              <w:rPr>
                <w:rFonts w:ascii="Arial" w:hAnsi="Arial" w:cs="Arial"/>
                <w:lang w:val="es-ES_tradnl"/>
              </w:rPr>
            </w:pPr>
            <w:r>
              <w:rPr>
                <w:rFonts w:ascii="Arial" w:hAnsi="Arial" w:cs="Arial"/>
                <w:lang w:val="es-ES_tradnl"/>
              </w:rPr>
              <w:t>616.20%</w:t>
            </w:r>
          </w:p>
        </w:tc>
        <w:tc>
          <w:tcPr>
            <w:tcW w:w="2831" w:type="dxa"/>
          </w:tcPr>
          <w:p w:rsidR="00D526A3" w:rsidRDefault="00D526A3" w:rsidP="00537F41">
            <w:pPr>
              <w:spacing w:after="0" w:line="240" w:lineRule="auto"/>
              <w:jc w:val="center"/>
              <w:rPr>
                <w:rFonts w:ascii="Arial" w:hAnsi="Arial" w:cs="Arial"/>
                <w:lang w:val="es-ES_tradnl"/>
              </w:rPr>
            </w:pPr>
            <w:r>
              <w:rPr>
                <w:rFonts w:ascii="Arial" w:hAnsi="Arial" w:cs="Arial"/>
                <w:lang w:val="es-ES_tradnl"/>
              </w:rPr>
              <w:t>450.89%</w:t>
            </w:r>
          </w:p>
        </w:tc>
        <w:tc>
          <w:tcPr>
            <w:tcW w:w="2832" w:type="dxa"/>
          </w:tcPr>
          <w:p w:rsidR="00D526A3" w:rsidRDefault="00683CCF" w:rsidP="00537F41">
            <w:pPr>
              <w:spacing w:after="0" w:line="240" w:lineRule="auto"/>
              <w:jc w:val="center"/>
              <w:rPr>
                <w:rFonts w:ascii="Arial" w:hAnsi="Arial" w:cs="Arial"/>
                <w:lang w:val="es-ES_tradnl"/>
              </w:rPr>
            </w:pPr>
            <w:r>
              <w:rPr>
                <w:rFonts w:ascii="Arial" w:hAnsi="Arial" w:cs="Arial"/>
                <w:lang w:val="es-ES_tradnl"/>
              </w:rPr>
              <w:t>615</w:t>
            </w:r>
            <w:r w:rsidR="00D526A3">
              <w:rPr>
                <w:rFonts w:ascii="Arial" w:hAnsi="Arial" w:cs="Arial"/>
                <w:lang w:val="es-ES_tradnl"/>
              </w:rPr>
              <w:t>.</w:t>
            </w:r>
            <w:r>
              <w:rPr>
                <w:rFonts w:ascii="Arial" w:hAnsi="Arial" w:cs="Arial"/>
                <w:lang w:val="es-ES_tradnl"/>
              </w:rPr>
              <w:t>39</w:t>
            </w:r>
            <w:r w:rsidR="00D526A3">
              <w:rPr>
                <w:rFonts w:ascii="Arial" w:hAnsi="Arial" w:cs="Arial"/>
                <w:lang w:val="es-ES_tradnl"/>
              </w:rPr>
              <w:t>%</w:t>
            </w:r>
          </w:p>
        </w:tc>
      </w:tr>
    </w:tbl>
    <w:p w:rsidR="00D526A3" w:rsidRDefault="00D526A3" w:rsidP="009E6F05">
      <w:pPr>
        <w:spacing w:after="0" w:line="240" w:lineRule="auto"/>
        <w:jc w:val="both"/>
        <w:rPr>
          <w:rFonts w:ascii="Arial" w:hAnsi="Arial" w:cs="Arial"/>
          <w:lang w:val="es-ES_tradnl"/>
        </w:rPr>
      </w:pPr>
    </w:p>
    <w:p w:rsidR="00437316" w:rsidRDefault="00437316" w:rsidP="009E6F05">
      <w:pPr>
        <w:spacing w:after="0" w:line="240" w:lineRule="auto"/>
        <w:jc w:val="both"/>
        <w:rPr>
          <w:rFonts w:ascii="Arial" w:hAnsi="Arial" w:cs="Arial"/>
          <w:lang w:val="es-ES_tradnl"/>
        </w:rPr>
      </w:pPr>
    </w:p>
    <w:p w:rsidR="00437316" w:rsidRDefault="00437316" w:rsidP="009E6F05">
      <w:pPr>
        <w:spacing w:after="0" w:line="240" w:lineRule="auto"/>
        <w:jc w:val="both"/>
        <w:rPr>
          <w:rFonts w:ascii="Arial" w:hAnsi="Arial" w:cs="Arial"/>
          <w:lang w:val="es-ES_tradnl"/>
        </w:rPr>
      </w:pPr>
    </w:p>
    <w:p w:rsidR="0035235B" w:rsidRDefault="0035235B" w:rsidP="0035235B">
      <w:pPr>
        <w:spacing w:after="0" w:line="240" w:lineRule="auto"/>
        <w:jc w:val="both"/>
        <w:rPr>
          <w:rFonts w:ascii="Arial" w:hAnsi="Arial" w:cs="Arial"/>
          <w:lang w:val="es-ES_tradnl"/>
        </w:rPr>
      </w:pPr>
      <w:r w:rsidRPr="0035235B">
        <w:rPr>
          <w:rFonts w:ascii="Arial" w:hAnsi="Arial" w:cs="Arial"/>
          <w:b/>
          <w:lang w:val="es-ES_tradnl"/>
        </w:rPr>
        <w:t>Cuál fue la rentabilidad mensual de cada sector y del mercado</w:t>
      </w:r>
      <w:r>
        <w:rPr>
          <w:rFonts w:ascii="Arial" w:hAnsi="Arial" w:cs="Arial"/>
          <w:lang w:val="es-ES_tradnl"/>
        </w:rPr>
        <w:t>.</w:t>
      </w:r>
    </w:p>
    <w:p w:rsidR="00683CCF" w:rsidRPr="009E6F05" w:rsidRDefault="00683CCF" w:rsidP="0035235B">
      <w:pPr>
        <w:spacing w:after="0" w:line="240" w:lineRule="auto"/>
        <w:jc w:val="both"/>
        <w:rPr>
          <w:rFonts w:ascii="Arial" w:hAnsi="Arial" w:cs="Arial"/>
          <w:lang w:val="es-ES_tradnl"/>
        </w:rPr>
      </w:pPr>
    </w:p>
    <w:p w:rsidR="00437316" w:rsidRDefault="00437316" w:rsidP="009E6F05">
      <w:pPr>
        <w:spacing w:after="0" w:line="240" w:lineRule="auto"/>
        <w:jc w:val="both"/>
        <w:rPr>
          <w:rFonts w:ascii="Arial" w:hAnsi="Arial" w:cs="Arial"/>
          <w:lang w:val="es-ES_tradnl"/>
        </w:rPr>
      </w:pPr>
    </w:p>
    <w:tbl>
      <w:tblPr>
        <w:tblStyle w:val="Tablaconcuadrcula"/>
        <w:tblW w:w="0" w:type="auto"/>
        <w:tblLook w:val="04A0" w:firstRow="1" w:lastRow="0" w:firstColumn="1" w:lastColumn="0" w:noHBand="0" w:noVBand="1"/>
      </w:tblPr>
      <w:tblGrid>
        <w:gridCol w:w="1342"/>
        <w:gridCol w:w="1200"/>
        <w:gridCol w:w="1200"/>
        <w:gridCol w:w="1200"/>
      </w:tblGrid>
      <w:tr w:rsidR="00683CCF" w:rsidRPr="00683CCF" w:rsidTr="00683CCF">
        <w:trPr>
          <w:trHeight w:val="300"/>
        </w:trPr>
        <w:tc>
          <w:tcPr>
            <w:tcW w:w="1200" w:type="dxa"/>
            <w:vMerge w:val="restart"/>
            <w:noWrap/>
            <w:hideMark/>
          </w:tcPr>
          <w:p w:rsidR="00683CCF" w:rsidRPr="00683CCF" w:rsidRDefault="00683CCF" w:rsidP="00683CCF">
            <w:pPr>
              <w:spacing w:after="0" w:line="240" w:lineRule="auto"/>
              <w:jc w:val="both"/>
              <w:rPr>
                <w:rFonts w:ascii="Arial" w:hAnsi="Arial" w:cs="Arial"/>
                <w:lang w:val="es-ES"/>
              </w:rPr>
            </w:pPr>
            <w:r w:rsidRPr="00683CCF">
              <w:rPr>
                <w:rFonts w:ascii="Arial" w:hAnsi="Arial" w:cs="Arial"/>
              </w:rPr>
              <w:t>Mes</w:t>
            </w:r>
          </w:p>
        </w:tc>
        <w:tc>
          <w:tcPr>
            <w:tcW w:w="1200" w:type="dxa"/>
            <w:vMerge w:val="restart"/>
            <w:hideMark/>
          </w:tcPr>
          <w:p w:rsidR="00683CCF" w:rsidRPr="00683CCF" w:rsidRDefault="001A55A7" w:rsidP="00683CCF">
            <w:pPr>
              <w:spacing w:after="0" w:line="240" w:lineRule="auto"/>
              <w:jc w:val="both"/>
              <w:rPr>
                <w:rFonts w:ascii="Arial" w:hAnsi="Arial" w:cs="Arial"/>
              </w:rPr>
            </w:pPr>
            <w:r w:rsidRPr="00683CCF">
              <w:rPr>
                <w:rFonts w:ascii="Arial" w:hAnsi="Arial" w:cs="Arial"/>
              </w:rPr>
              <w:t>Índice</w:t>
            </w:r>
            <w:r w:rsidR="00683CCF" w:rsidRPr="00683CCF">
              <w:rPr>
                <w:rFonts w:ascii="Arial" w:hAnsi="Arial" w:cs="Arial"/>
              </w:rPr>
              <w:t xml:space="preserve"> General</w:t>
            </w:r>
          </w:p>
        </w:tc>
        <w:tc>
          <w:tcPr>
            <w:tcW w:w="1200" w:type="dxa"/>
            <w:vMerge w:val="restart"/>
            <w:hideMark/>
          </w:tcPr>
          <w:p w:rsidR="00683CCF" w:rsidRPr="00683CCF" w:rsidRDefault="001A55A7" w:rsidP="00683CCF">
            <w:pPr>
              <w:spacing w:after="0" w:line="240" w:lineRule="auto"/>
              <w:jc w:val="both"/>
              <w:rPr>
                <w:rFonts w:ascii="Arial" w:hAnsi="Arial" w:cs="Arial"/>
              </w:rPr>
            </w:pPr>
            <w:r w:rsidRPr="00683CCF">
              <w:rPr>
                <w:rFonts w:ascii="Arial" w:hAnsi="Arial" w:cs="Arial"/>
              </w:rPr>
              <w:t>Índice</w:t>
            </w:r>
            <w:r w:rsidR="00683CCF" w:rsidRPr="00683CCF">
              <w:rPr>
                <w:rFonts w:ascii="Arial" w:hAnsi="Arial" w:cs="Arial"/>
              </w:rPr>
              <w:t xml:space="preserve"> Sector1</w:t>
            </w:r>
          </w:p>
        </w:tc>
        <w:tc>
          <w:tcPr>
            <w:tcW w:w="1200" w:type="dxa"/>
            <w:vMerge w:val="restart"/>
            <w:hideMark/>
          </w:tcPr>
          <w:p w:rsidR="00683CCF" w:rsidRPr="00683CCF" w:rsidRDefault="001A55A7" w:rsidP="00683CCF">
            <w:pPr>
              <w:spacing w:after="0" w:line="240" w:lineRule="auto"/>
              <w:jc w:val="both"/>
              <w:rPr>
                <w:rFonts w:ascii="Arial" w:hAnsi="Arial" w:cs="Arial"/>
              </w:rPr>
            </w:pPr>
            <w:r w:rsidRPr="00683CCF">
              <w:rPr>
                <w:rFonts w:ascii="Arial" w:hAnsi="Arial" w:cs="Arial"/>
              </w:rPr>
              <w:t>Índice</w:t>
            </w:r>
            <w:r w:rsidR="00683CCF" w:rsidRPr="00683CCF">
              <w:rPr>
                <w:rFonts w:ascii="Arial" w:hAnsi="Arial" w:cs="Arial"/>
              </w:rPr>
              <w:t xml:space="preserve"> Sector2</w:t>
            </w:r>
          </w:p>
        </w:tc>
      </w:tr>
      <w:tr w:rsidR="00683CCF" w:rsidRPr="00683CCF" w:rsidTr="00683CCF">
        <w:trPr>
          <w:trHeight w:val="300"/>
        </w:trPr>
        <w:tc>
          <w:tcPr>
            <w:tcW w:w="1200" w:type="dxa"/>
            <w:vMerge/>
            <w:hideMark/>
          </w:tcPr>
          <w:p w:rsidR="00683CCF" w:rsidRPr="00683CCF" w:rsidRDefault="00683CCF" w:rsidP="00683CCF">
            <w:pPr>
              <w:spacing w:after="0" w:line="240" w:lineRule="auto"/>
              <w:jc w:val="both"/>
              <w:rPr>
                <w:rFonts w:ascii="Arial" w:hAnsi="Arial" w:cs="Arial"/>
              </w:rPr>
            </w:pPr>
          </w:p>
        </w:tc>
        <w:tc>
          <w:tcPr>
            <w:tcW w:w="1200" w:type="dxa"/>
            <w:vMerge/>
            <w:hideMark/>
          </w:tcPr>
          <w:p w:rsidR="00683CCF" w:rsidRPr="00683CCF" w:rsidRDefault="00683CCF" w:rsidP="00683CCF">
            <w:pPr>
              <w:spacing w:after="0" w:line="240" w:lineRule="auto"/>
              <w:jc w:val="both"/>
              <w:rPr>
                <w:rFonts w:ascii="Arial" w:hAnsi="Arial" w:cs="Arial"/>
              </w:rPr>
            </w:pPr>
          </w:p>
        </w:tc>
        <w:tc>
          <w:tcPr>
            <w:tcW w:w="1200" w:type="dxa"/>
            <w:vMerge/>
            <w:hideMark/>
          </w:tcPr>
          <w:p w:rsidR="00683CCF" w:rsidRPr="00683CCF" w:rsidRDefault="00683CCF" w:rsidP="00683CCF">
            <w:pPr>
              <w:spacing w:after="0" w:line="240" w:lineRule="auto"/>
              <w:jc w:val="both"/>
              <w:rPr>
                <w:rFonts w:ascii="Arial" w:hAnsi="Arial" w:cs="Arial"/>
              </w:rPr>
            </w:pPr>
          </w:p>
        </w:tc>
        <w:tc>
          <w:tcPr>
            <w:tcW w:w="1200" w:type="dxa"/>
            <w:vMerge/>
            <w:hideMark/>
          </w:tcPr>
          <w:p w:rsidR="00683CCF" w:rsidRPr="00683CCF" w:rsidRDefault="00683CCF" w:rsidP="00683CCF">
            <w:pPr>
              <w:spacing w:after="0" w:line="240" w:lineRule="auto"/>
              <w:jc w:val="both"/>
              <w:rPr>
                <w:rFonts w:ascii="Arial" w:hAnsi="Arial" w:cs="Arial"/>
              </w:rPr>
            </w:pP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Enero</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3,45%</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10,74%</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-2,00%</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Febrero</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5,79%</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10,27%</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-1,02%</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Marzo</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-1,84%</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-1,74%</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0,52%</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Abril</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2,49%</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1,33%</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0,51%</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Mayo</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-6,22%</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-6,20%</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1,02%</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Junio</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-3,44%</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-7,07%</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-0,51%</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Julio</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-0,53%</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-0,92%</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-1,52%</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Agosto</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-0,68%</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2,42%</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0,52%</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Septiembre</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-2,31%</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-2,88%</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0,51%</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Octubre</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1,86%</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-0,42%</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1,02%</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Noviembre</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11,20%</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14,41%</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-2,02%</w:t>
            </w:r>
          </w:p>
        </w:tc>
      </w:tr>
      <w:tr w:rsidR="00683CCF" w:rsidRPr="00683CCF" w:rsidTr="00683CCF">
        <w:trPr>
          <w:trHeight w:val="300"/>
        </w:trPr>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Diciembre</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-0,78%</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-1,77%</w:t>
            </w:r>
          </w:p>
        </w:tc>
        <w:tc>
          <w:tcPr>
            <w:tcW w:w="1200" w:type="dxa"/>
            <w:noWrap/>
            <w:hideMark/>
          </w:tcPr>
          <w:p w:rsidR="00683CCF" w:rsidRPr="00683CCF" w:rsidRDefault="00683CCF" w:rsidP="00683CCF">
            <w:pPr>
              <w:spacing w:after="0" w:line="240" w:lineRule="auto"/>
              <w:jc w:val="both"/>
              <w:rPr>
                <w:rFonts w:ascii="Arial" w:hAnsi="Arial" w:cs="Arial"/>
              </w:rPr>
            </w:pPr>
            <w:r w:rsidRPr="00683CCF">
              <w:rPr>
                <w:rFonts w:ascii="Arial" w:hAnsi="Arial" w:cs="Arial"/>
              </w:rPr>
              <w:t>8,25%</w:t>
            </w:r>
          </w:p>
        </w:tc>
      </w:tr>
    </w:tbl>
    <w:p w:rsidR="00437316" w:rsidRDefault="00437316" w:rsidP="009E6F05">
      <w:pPr>
        <w:spacing w:after="0" w:line="240" w:lineRule="auto"/>
        <w:jc w:val="both"/>
        <w:rPr>
          <w:rFonts w:ascii="Arial" w:hAnsi="Arial" w:cs="Arial"/>
          <w:lang w:val="es-ES_tradnl"/>
        </w:rPr>
      </w:pPr>
    </w:p>
    <w:p w:rsidR="00437316" w:rsidRDefault="00437316" w:rsidP="009E6F05">
      <w:pPr>
        <w:spacing w:after="0" w:line="240" w:lineRule="auto"/>
        <w:jc w:val="both"/>
        <w:rPr>
          <w:rFonts w:ascii="Arial" w:hAnsi="Arial" w:cs="Arial"/>
          <w:lang w:val="es-ES_tradnl"/>
        </w:rPr>
      </w:pPr>
    </w:p>
    <w:p w:rsidR="00F46688" w:rsidRDefault="00F46688" w:rsidP="0035235B">
      <w:pPr>
        <w:spacing w:after="0" w:line="240" w:lineRule="auto"/>
        <w:jc w:val="both"/>
        <w:rPr>
          <w:rFonts w:ascii="Arial" w:hAnsi="Arial" w:cs="Arial"/>
          <w:b/>
          <w:lang w:val="es-ES_tradnl"/>
        </w:rPr>
      </w:pPr>
    </w:p>
    <w:p w:rsidR="001A55A7" w:rsidRDefault="001A55A7" w:rsidP="0035235B">
      <w:pPr>
        <w:spacing w:after="0" w:line="240" w:lineRule="auto"/>
        <w:jc w:val="both"/>
        <w:rPr>
          <w:rFonts w:ascii="Arial" w:hAnsi="Arial" w:cs="Arial"/>
          <w:b/>
          <w:lang w:val="es-ES_tradnl"/>
        </w:rPr>
      </w:pPr>
    </w:p>
    <w:p w:rsidR="001A55A7" w:rsidRDefault="001A55A7" w:rsidP="0035235B">
      <w:pPr>
        <w:spacing w:after="0" w:line="240" w:lineRule="auto"/>
        <w:jc w:val="both"/>
        <w:rPr>
          <w:rFonts w:ascii="Arial" w:hAnsi="Arial" w:cs="Arial"/>
          <w:b/>
          <w:lang w:val="es-ES_tradnl"/>
        </w:rPr>
      </w:pPr>
    </w:p>
    <w:p w:rsidR="0035235B" w:rsidRPr="0035235B" w:rsidRDefault="0035235B" w:rsidP="0035235B">
      <w:pPr>
        <w:spacing w:after="0" w:line="240" w:lineRule="auto"/>
        <w:jc w:val="both"/>
        <w:rPr>
          <w:rFonts w:ascii="Arial" w:hAnsi="Arial" w:cs="Arial"/>
          <w:b/>
          <w:lang w:val="es-ES_tradnl"/>
        </w:rPr>
      </w:pPr>
      <w:bookmarkStart w:id="0" w:name="_GoBack"/>
      <w:bookmarkEnd w:id="0"/>
      <w:r w:rsidRPr="0035235B">
        <w:rPr>
          <w:rFonts w:ascii="Arial" w:hAnsi="Arial" w:cs="Arial"/>
          <w:b/>
          <w:lang w:val="es-ES_tradnl"/>
        </w:rPr>
        <w:lastRenderedPageBreak/>
        <w:t xml:space="preserve">Cuál fue la rentabilidad media de cada </w:t>
      </w:r>
      <w:r w:rsidR="00386AFA">
        <w:rPr>
          <w:rFonts w:ascii="Arial" w:hAnsi="Arial" w:cs="Arial"/>
          <w:b/>
          <w:lang w:val="es-ES_tradnl"/>
        </w:rPr>
        <w:t>sector y del mercado en el período.</w:t>
      </w:r>
    </w:p>
    <w:p w:rsidR="00437316" w:rsidRDefault="00437316" w:rsidP="009E6F05">
      <w:pPr>
        <w:spacing w:after="0" w:line="240" w:lineRule="auto"/>
        <w:jc w:val="both"/>
        <w:rPr>
          <w:rFonts w:ascii="Arial" w:hAnsi="Arial" w:cs="Arial"/>
          <w:lang w:val="es-ES_tradnl"/>
        </w:rPr>
      </w:pPr>
    </w:p>
    <w:tbl>
      <w:tblPr>
        <w:tblStyle w:val="Tablaconcuadrcula"/>
        <w:tblW w:w="0" w:type="auto"/>
        <w:tblLook w:val="04A0" w:firstRow="1" w:lastRow="0" w:firstColumn="1" w:lastColumn="0" w:noHBand="0" w:noVBand="1"/>
      </w:tblPr>
      <w:tblGrid>
        <w:gridCol w:w="2831"/>
        <w:gridCol w:w="2831"/>
        <w:gridCol w:w="2832"/>
      </w:tblGrid>
      <w:tr w:rsidR="0035235B" w:rsidTr="0035235B">
        <w:tc>
          <w:tcPr>
            <w:tcW w:w="2831"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INDICE GENERAL</w:t>
            </w:r>
          </w:p>
        </w:tc>
        <w:tc>
          <w:tcPr>
            <w:tcW w:w="2831"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SECTOR 1</w:t>
            </w:r>
          </w:p>
        </w:tc>
        <w:tc>
          <w:tcPr>
            <w:tcW w:w="2832"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SECTOR 2</w:t>
            </w:r>
          </w:p>
        </w:tc>
      </w:tr>
      <w:tr w:rsidR="0035235B" w:rsidTr="0035235B">
        <w:tc>
          <w:tcPr>
            <w:tcW w:w="2831"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0.75%</w:t>
            </w:r>
          </w:p>
        </w:tc>
        <w:tc>
          <w:tcPr>
            <w:tcW w:w="2831"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1.51%</w:t>
            </w:r>
          </w:p>
        </w:tc>
        <w:tc>
          <w:tcPr>
            <w:tcW w:w="2832"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0.4</w:t>
            </w:r>
            <w:r w:rsidR="009B6574">
              <w:rPr>
                <w:rFonts w:ascii="Arial" w:hAnsi="Arial" w:cs="Arial"/>
                <w:lang w:val="es-ES_tradnl"/>
              </w:rPr>
              <w:t>4</w:t>
            </w:r>
            <w:r>
              <w:rPr>
                <w:rFonts w:ascii="Arial" w:hAnsi="Arial" w:cs="Arial"/>
                <w:lang w:val="es-ES_tradnl"/>
              </w:rPr>
              <w:t>%</w:t>
            </w:r>
          </w:p>
        </w:tc>
      </w:tr>
    </w:tbl>
    <w:p w:rsidR="00437316" w:rsidRDefault="00437316" w:rsidP="009E6F05">
      <w:pPr>
        <w:spacing w:after="0" w:line="240" w:lineRule="auto"/>
        <w:jc w:val="both"/>
        <w:rPr>
          <w:rFonts w:ascii="Arial" w:hAnsi="Arial" w:cs="Arial"/>
          <w:lang w:val="es-ES_tradnl"/>
        </w:rPr>
      </w:pPr>
    </w:p>
    <w:p w:rsidR="00437316" w:rsidRDefault="00437316" w:rsidP="009E6F05">
      <w:pPr>
        <w:spacing w:after="0" w:line="240" w:lineRule="auto"/>
        <w:jc w:val="both"/>
        <w:rPr>
          <w:rFonts w:ascii="Arial" w:hAnsi="Arial" w:cs="Arial"/>
          <w:lang w:val="es-ES_tradnl"/>
        </w:rPr>
      </w:pPr>
    </w:p>
    <w:p w:rsidR="0035235B" w:rsidRDefault="0035235B" w:rsidP="009E6F05">
      <w:pPr>
        <w:spacing w:after="0" w:line="240" w:lineRule="auto"/>
        <w:jc w:val="both"/>
        <w:rPr>
          <w:rFonts w:ascii="Arial" w:hAnsi="Arial" w:cs="Arial"/>
          <w:b/>
          <w:lang w:val="es-ES_tradnl"/>
        </w:rPr>
      </w:pPr>
    </w:p>
    <w:p w:rsidR="00437316" w:rsidRPr="0035235B" w:rsidRDefault="0035235B" w:rsidP="009E6F05">
      <w:pPr>
        <w:spacing w:after="0" w:line="240" w:lineRule="auto"/>
        <w:jc w:val="both"/>
        <w:rPr>
          <w:rFonts w:ascii="Arial" w:hAnsi="Arial" w:cs="Arial"/>
          <w:b/>
          <w:lang w:val="es-ES_tradnl"/>
        </w:rPr>
      </w:pPr>
      <w:r w:rsidRPr="0035235B">
        <w:rPr>
          <w:rFonts w:ascii="Arial" w:hAnsi="Arial" w:cs="Arial"/>
          <w:b/>
          <w:lang w:val="es-ES_tradnl"/>
        </w:rPr>
        <w:t>Cuál fue la rentabilidad anual de cada sector y del mercado</w:t>
      </w:r>
    </w:p>
    <w:p w:rsidR="00437316" w:rsidRDefault="00437316" w:rsidP="009E6F05">
      <w:pPr>
        <w:spacing w:after="0" w:line="240" w:lineRule="auto"/>
        <w:jc w:val="both"/>
        <w:rPr>
          <w:rFonts w:ascii="Arial" w:hAnsi="Arial" w:cs="Arial"/>
          <w:lang w:val="es-ES_tradnl"/>
        </w:rPr>
      </w:pPr>
    </w:p>
    <w:p w:rsidR="0035235B" w:rsidRDefault="0035235B" w:rsidP="009E6F05">
      <w:pPr>
        <w:spacing w:after="0" w:line="240" w:lineRule="auto"/>
        <w:jc w:val="both"/>
        <w:rPr>
          <w:rFonts w:ascii="Arial" w:hAnsi="Arial" w:cs="Arial"/>
          <w:lang w:val="es-ES_tradnl"/>
        </w:rPr>
      </w:pPr>
    </w:p>
    <w:tbl>
      <w:tblPr>
        <w:tblStyle w:val="Tablaconcuadrcula"/>
        <w:tblW w:w="0" w:type="auto"/>
        <w:tblLook w:val="04A0" w:firstRow="1" w:lastRow="0" w:firstColumn="1" w:lastColumn="0" w:noHBand="0" w:noVBand="1"/>
      </w:tblPr>
      <w:tblGrid>
        <w:gridCol w:w="2831"/>
        <w:gridCol w:w="2831"/>
        <w:gridCol w:w="2832"/>
      </w:tblGrid>
      <w:tr w:rsidR="0035235B" w:rsidTr="0068129A">
        <w:tc>
          <w:tcPr>
            <w:tcW w:w="2831"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INDICE GENERAL</w:t>
            </w:r>
          </w:p>
        </w:tc>
        <w:tc>
          <w:tcPr>
            <w:tcW w:w="2831"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SECTOR 1</w:t>
            </w:r>
          </w:p>
        </w:tc>
        <w:tc>
          <w:tcPr>
            <w:tcW w:w="2832"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SECTOR 2</w:t>
            </w:r>
          </w:p>
        </w:tc>
      </w:tr>
      <w:tr w:rsidR="0035235B" w:rsidTr="0068129A">
        <w:tc>
          <w:tcPr>
            <w:tcW w:w="2831"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8.14%</w:t>
            </w:r>
          </w:p>
        </w:tc>
        <w:tc>
          <w:tcPr>
            <w:tcW w:w="2831" w:type="dxa"/>
          </w:tcPr>
          <w:p w:rsidR="0035235B" w:rsidRDefault="0035235B" w:rsidP="00E54958">
            <w:pPr>
              <w:spacing w:after="0" w:line="240" w:lineRule="auto"/>
              <w:jc w:val="center"/>
              <w:rPr>
                <w:rFonts w:ascii="Arial" w:hAnsi="Arial" w:cs="Arial"/>
                <w:lang w:val="es-ES_tradnl"/>
              </w:rPr>
            </w:pPr>
            <w:r>
              <w:rPr>
                <w:rFonts w:ascii="Arial" w:hAnsi="Arial" w:cs="Arial"/>
                <w:lang w:val="es-ES_tradnl"/>
              </w:rPr>
              <w:t>16.89%</w:t>
            </w:r>
          </w:p>
        </w:tc>
        <w:tc>
          <w:tcPr>
            <w:tcW w:w="2832" w:type="dxa"/>
          </w:tcPr>
          <w:p w:rsidR="0035235B" w:rsidRDefault="009B6574" w:rsidP="00E54958">
            <w:pPr>
              <w:spacing w:after="0" w:line="240" w:lineRule="auto"/>
              <w:jc w:val="center"/>
              <w:rPr>
                <w:rFonts w:ascii="Arial" w:hAnsi="Arial" w:cs="Arial"/>
                <w:lang w:val="es-ES_tradnl"/>
              </w:rPr>
            </w:pPr>
            <w:r>
              <w:rPr>
                <w:rFonts w:ascii="Arial" w:hAnsi="Arial" w:cs="Arial"/>
                <w:lang w:val="es-ES_tradnl"/>
              </w:rPr>
              <w:t>5</w:t>
            </w:r>
            <w:r w:rsidR="0035235B">
              <w:rPr>
                <w:rFonts w:ascii="Arial" w:hAnsi="Arial" w:cs="Arial"/>
                <w:lang w:val="es-ES_tradnl"/>
              </w:rPr>
              <w:t>.</w:t>
            </w:r>
            <w:r>
              <w:rPr>
                <w:rFonts w:ascii="Arial" w:hAnsi="Arial" w:cs="Arial"/>
                <w:lang w:val="es-ES_tradnl"/>
              </w:rPr>
              <w:t>00</w:t>
            </w:r>
            <w:r w:rsidR="0035235B">
              <w:rPr>
                <w:rFonts w:ascii="Arial" w:hAnsi="Arial" w:cs="Arial"/>
                <w:lang w:val="es-ES_tradnl"/>
              </w:rPr>
              <w:t>%</w:t>
            </w:r>
          </w:p>
        </w:tc>
      </w:tr>
    </w:tbl>
    <w:p w:rsidR="0035235B" w:rsidRDefault="0035235B" w:rsidP="009E6F05">
      <w:pPr>
        <w:spacing w:after="0" w:line="240" w:lineRule="auto"/>
        <w:jc w:val="both"/>
        <w:rPr>
          <w:rFonts w:ascii="Arial" w:hAnsi="Arial" w:cs="Arial"/>
          <w:lang w:val="es-ES_tradnl"/>
        </w:rPr>
      </w:pPr>
    </w:p>
    <w:p w:rsidR="0035235B" w:rsidRDefault="0035235B" w:rsidP="009E6F05">
      <w:pPr>
        <w:spacing w:after="0" w:line="240" w:lineRule="auto"/>
        <w:jc w:val="both"/>
        <w:rPr>
          <w:rFonts w:ascii="Arial" w:hAnsi="Arial" w:cs="Arial"/>
          <w:lang w:val="es-ES_tradnl"/>
        </w:rPr>
      </w:pPr>
    </w:p>
    <w:p w:rsidR="00335A6C" w:rsidRDefault="00335A6C" w:rsidP="009E6F05">
      <w:pPr>
        <w:spacing w:after="0" w:line="240" w:lineRule="auto"/>
        <w:jc w:val="both"/>
        <w:rPr>
          <w:rFonts w:ascii="Arial" w:hAnsi="Arial" w:cs="Arial"/>
          <w:b/>
          <w:lang w:val="es-ES_tradnl"/>
        </w:rPr>
      </w:pPr>
    </w:p>
    <w:p w:rsidR="009E6F05" w:rsidRDefault="0035235B" w:rsidP="009E6F05">
      <w:pPr>
        <w:spacing w:after="0" w:line="240" w:lineRule="auto"/>
        <w:jc w:val="both"/>
        <w:rPr>
          <w:rFonts w:ascii="Arial" w:hAnsi="Arial" w:cs="Arial"/>
          <w:lang w:val="es-ES_tradnl"/>
        </w:rPr>
      </w:pPr>
      <w:r w:rsidRPr="0035235B">
        <w:rPr>
          <w:rFonts w:ascii="Arial" w:hAnsi="Arial" w:cs="Arial"/>
          <w:b/>
          <w:lang w:val="es-ES_tradnl"/>
        </w:rPr>
        <w:t>Qué análisis puede hacer independientemente de los resultados de las fórmulas encontradas respecto al riesgo de cada sector, comparando con sus rendimientos</w:t>
      </w:r>
      <w:r>
        <w:rPr>
          <w:rFonts w:ascii="Arial" w:hAnsi="Arial" w:cs="Arial"/>
          <w:lang w:val="es-ES_tradnl"/>
        </w:rPr>
        <w:t>.</w:t>
      </w:r>
    </w:p>
    <w:p w:rsidR="0035235B" w:rsidRDefault="0035235B" w:rsidP="009E6F05">
      <w:pPr>
        <w:spacing w:after="0" w:line="240" w:lineRule="auto"/>
        <w:jc w:val="both"/>
        <w:rPr>
          <w:rFonts w:ascii="Arial" w:hAnsi="Arial" w:cs="Arial"/>
          <w:lang w:val="es-ES_tradnl"/>
        </w:rPr>
      </w:pPr>
    </w:p>
    <w:p w:rsidR="0035235B" w:rsidRDefault="0035235B" w:rsidP="009E6F05">
      <w:pPr>
        <w:spacing w:after="0" w:line="240" w:lineRule="auto"/>
        <w:jc w:val="both"/>
        <w:rPr>
          <w:rFonts w:ascii="Arial" w:hAnsi="Arial" w:cs="Arial"/>
          <w:lang w:val="es-ES_tradnl"/>
        </w:rPr>
      </w:pPr>
      <w:r>
        <w:rPr>
          <w:rFonts w:ascii="Arial" w:hAnsi="Arial" w:cs="Arial"/>
          <w:lang w:val="es-ES_tradnl"/>
        </w:rPr>
        <w:t>Obsérvese que el sector 2 estuvo todo el año con rendimiento negativo, sin embargo,</w:t>
      </w:r>
      <w:r w:rsidR="00840FE7">
        <w:rPr>
          <w:rFonts w:ascii="Arial" w:hAnsi="Arial" w:cs="Arial"/>
          <w:lang w:val="es-ES_tradnl"/>
        </w:rPr>
        <w:t xml:space="preserve"> ambas </w:t>
      </w:r>
      <w:r>
        <w:rPr>
          <w:rFonts w:ascii="Arial" w:hAnsi="Arial" w:cs="Arial"/>
          <w:lang w:val="es-ES_tradnl"/>
        </w:rPr>
        <w:t>rentabilidad</w:t>
      </w:r>
      <w:r w:rsidR="00840FE7">
        <w:rPr>
          <w:rFonts w:ascii="Arial" w:hAnsi="Arial" w:cs="Arial"/>
          <w:lang w:val="es-ES_tradnl"/>
        </w:rPr>
        <w:t>es,</w:t>
      </w:r>
      <w:r>
        <w:rPr>
          <w:rFonts w:ascii="Arial" w:hAnsi="Arial" w:cs="Arial"/>
          <w:lang w:val="es-ES_tradnl"/>
        </w:rPr>
        <w:t xml:space="preserve"> anual</w:t>
      </w:r>
      <w:r w:rsidR="00840FE7">
        <w:rPr>
          <w:rFonts w:ascii="Arial" w:hAnsi="Arial" w:cs="Arial"/>
          <w:lang w:val="es-ES_tradnl"/>
        </w:rPr>
        <w:t xml:space="preserve"> y </w:t>
      </w:r>
      <w:r>
        <w:rPr>
          <w:rFonts w:ascii="Arial" w:hAnsi="Arial" w:cs="Arial"/>
          <w:lang w:val="es-ES_tradnl"/>
        </w:rPr>
        <w:t>promedio</w:t>
      </w:r>
      <w:r w:rsidR="00386AFA">
        <w:rPr>
          <w:rFonts w:ascii="Arial" w:hAnsi="Arial" w:cs="Arial"/>
          <w:lang w:val="es-ES_tradnl"/>
        </w:rPr>
        <w:t>, es claramente positiva.</w:t>
      </w:r>
    </w:p>
    <w:p w:rsidR="00840FE7" w:rsidRDefault="00840FE7" w:rsidP="009E6F05">
      <w:pPr>
        <w:spacing w:after="0" w:line="240" w:lineRule="auto"/>
        <w:jc w:val="both"/>
        <w:rPr>
          <w:rFonts w:ascii="Arial" w:hAnsi="Arial" w:cs="Arial"/>
          <w:lang w:val="es-ES_tradnl"/>
        </w:rPr>
      </w:pPr>
    </w:p>
    <w:p w:rsidR="00537F41" w:rsidRDefault="00537F41" w:rsidP="009E6F05">
      <w:pPr>
        <w:spacing w:after="0" w:line="240" w:lineRule="auto"/>
        <w:jc w:val="both"/>
        <w:rPr>
          <w:rFonts w:ascii="Arial" w:hAnsi="Arial" w:cs="Arial"/>
          <w:lang w:val="es-ES_tradnl"/>
        </w:rPr>
      </w:pPr>
      <w:r>
        <w:rPr>
          <w:rFonts w:ascii="Arial" w:hAnsi="Arial" w:cs="Arial"/>
          <w:lang w:val="es-ES_tradnl"/>
        </w:rPr>
        <w:t>El coeficiente de</w:t>
      </w:r>
      <w:r w:rsidR="00C834C7">
        <w:rPr>
          <w:rFonts w:ascii="Arial" w:hAnsi="Arial" w:cs="Arial"/>
          <w:lang w:val="es-ES_tradnl"/>
        </w:rPr>
        <w:t xml:space="preserve"> variación del mercado es mayor, levemente, </w:t>
      </w:r>
      <w:r>
        <w:rPr>
          <w:rFonts w:ascii="Arial" w:hAnsi="Arial" w:cs="Arial"/>
          <w:lang w:val="es-ES_tradnl"/>
        </w:rPr>
        <w:t>que el del sector 2</w:t>
      </w:r>
      <w:r w:rsidR="00C834C7">
        <w:rPr>
          <w:rFonts w:ascii="Arial" w:hAnsi="Arial" w:cs="Arial"/>
          <w:lang w:val="es-ES_tradnl"/>
        </w:rPr>
        <w:t>, pero sus rendimientos son claramente mayores</w:t>
      </w:r>
    </w:p>
    <w:p w:rsidR="00537F41" w:rsidRDefault="00537F41" w:rsidP="009E6F05">
      <w:pPr>
        <w:spacing w:after="0" w:line="240" w:lineRule="auto"/>
        <w:jc w:val="both"/>
        <w:rPr>
          <w:rFonts w:ascii="Arial" w:hAnsi="Arial" w:cs="Arial"/>
          <w:lang w:val="es-ES_tradnl"/>
        </w:rPr>
      </w:pPr>
    </w:p>
    <w:p w:rsidR="00840FE7" w:rsidRDefault="00840FE7" w:rsidP="009E6F05">
      <w:pPr>
        <w:spacing w:after="0" w:line="240" w:lineRule="auto"/>
        <w:jc w:val="both"/>
        <w:rPr>
          <w:rFonts w:ascii="Arial" w:hAnsi="Arial" w:cs="Arial"/>
          <w:lang w:val="es-ES_tradnl"/>
        </w:rPr>
      </w:pPr>
      <w:r>
        <w:rPr>
          <w:rFonts w:ascii="Arial" w:hAnsi="Arial" w:cs="Arial"/>
          <w:lang w:val="es-ES_tradnl"/>
        </w:rPr>
        <w:t>La volatilidad del sector 2 medida por el desvío típico es la menor de todas, y no es tan alejada del sector general, sin embargo, el mercado estuvo por arriba del índice de referencia casi todo el año, no así este sector, el cual estuvo 11 de los 12 meses con rendimiento negativo respecto a la base.</w:t>
      </w:r>
    </w:p>
    <w:p w:rsidR="00840FE7" w:rsidRDefault="00840FE7" w:rsidP="009E6F05">
      <w:pPr>
        <w:spacing w:after="0" w:line="240" w:lineRule="auto"/>
        <w:jc w:val="both"/>
        <w:rPr>
          <w:rFonts w:ascii="Arial" w:hAnsi="Arial" w:cs="Arial"/>
          <w:lang w:val="es-ES_tradnl"/>
        </w:rPr>
      </w:pPr>
    </w:p>
    <w:p w:rsidR="00840FE7" w:rsidRPr="009E6F05" w:rsidRDefault="00840FE7" w:rsidP="009E6F05">
      <w:pPr>
        <w:spacing w:after="0" w:line="240" w:lineRule="auto"/>
        <w:jc w:val="both"/>
        <w:rPr>
          <w:rFonts w:ascii="Arial" w:hAnsi="Arial" w:cs="Arial"/>
          <w:lang w:val="es-ES_tradnl"/>
        </w:rPr>
      </w:pPr>
    </w:p>
    <w:sectPr w:rsidR="00840FE7" w:rsidRPr="009E6F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5C"/>
    <w:rsid w:val="00023325"/>
    <w:rsid w:val="00077571"/>
    <w:rsid w:val="00177486"/>
    <w:rsid w:val="001A55A7"/>
    <w:rsid w:val="00267CE1"/>
    <w:rsid w:val="002D6A7B"/>
    <w:rsid w:val="00335A6C"/>
    <w:rsid w:val="0035235B"/>
    <w:rsid w:val="00386AFA"/>
    <w:rsid w:val="003F7F69"/>
    <w:rsid w:val="00437316"/>
    <w:rsid w:val="00464354"/>
    <w:rsid w:val="00532F5C"/>
    <w:rsid w:val="00537F41"/>
    <w:rsid w:val="006746C2"/>
    <w:rsid w:val="00683CCF"/>
    <w:rsid w:val="006B2264"/>
    <w:rsid w:val="00840FE7"/>
    <w:rsid w:val="008E7926"/>
    <w:rsid w:val="009B6574"/>
    <w:rsid w:val="009C0115"/>
    <w:rsid w:val="009D6A2B"/>
    <w:rsid w:val="009E6F05"/>
    <w:rsid w:val="009F7E55"/>
    <w:rsid w:val="00A04A80"/>
    <w:rsid w:val="00B03CD3"/>
    <w:rsid w:val="00C834C7"/>
    <w:rsid w:val="00D25028"/>
    <w:rsid w:val="00D526A3"/>
    <w:rsid w:val="00D65EA4"/>
    <w:rsid w:val="00E54958"/>
    <w:rsid w:val="00F3078A"/>
    <w:rsid w:val="00F46688"/>
    <w:rsid w:val="00F646A3"/>
    <w:rsid w:val="00FC631E"/>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9B47"/>
  <w15:chartTrackingRefBased/>
  <w15:docId w15:val="{9F4C3038-D3A1-4B6B-BAC1-B4785DF2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69"/>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3F7F69"/>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semiHidden/>
    <w:rsid w:val="003F7F69"/>
    <w:rPr>
      <w:rFonts w:ascii="Courier New" w:eastAsia="Times New Roman" w:hAnsi="Courier New" w:cs="Times New Roman"/>
      <w:sz w:val="20"/>
      <w:szCs w:val="20"/>
      <w:lang w:val="es-AR" w:eastAsia="es-ES"/>
    </w:rPr>
  </w:style>
  <w:style w:type="table" w:styleId="Tablaconcuadrcula">
    <w:name w:val="Table Grid"/>
    <w:basedOn w:val="Tablanormal"/>
    <w:uiPriority w:val="39"/>
    <w:rsid w:val="00437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7041">
      <w:bodyDiv w:val="1"/>
      <w:marLeft w:val="0"/>
      <w:marRight w:val="0"/>
      <w:marTop w:val="0"/>
      <w:marBottom w:val="0"/>
      <w:divBdr>
        <w:top w:val="none" w:sz="0" w:space="0" w:color="auto"/>
        <w:left w:val="none" w:sz="0" w:space="0" w:color="auto"/>
        <w:bottom w:val="none" w:sz="0" w:space="0" w:color="auto"/>
        <w:right w:val="none" w:sz="0" w:space="0" w:color="auto"/>
      </w:divBdr>
    </w:div>
    <w:div w:id="268777020">
      <w:bodyDiv w:val="1"/>
      <w:marLeft w:val="0"/>
      <w:marRight w:val="0"/>
      <w:marTop w:val="0"/>
      <w:marBottom w:val="0"/>
      <w:divBdr>
        <w:top w:val="none" w:sz="0" w:space="0" w:color="auto"/>
        <w:left w:val="none" w:sz="0" w:space="0" w:color="auto"/>
        <w:bottom w:val="none" w:sz="0" w:space="0" w:color="auto"/>
        <w:right w:val="none" w:sz="0" w:space="0" w:color="auto"/>
      </w:divBdr>
    </w:div>
    <w:div w:id="515193443">
      <w:bodyDiv w:val="1"/>
      <w:marLeft w:val="0"/>
      <w:marRight w:val="0"/>
      <w:marTop w:val="0"/>
      <w:marBottom w:val="0"/>
      <w:divBdr>
        <w:top w:val="none" w:sz="0" w:space="0" w:color="auto"/>
        <w:left w:val="none" w:sz="0" w:space="0" w:color="auto"/>
        <w:bottom w:val="none" w:sz="0" w:space="0" w:color="auto"/>
        <w:right w:val="none" w:sz="0" w:space="0" w:color="auto"/>
      </w:divBdr>
    </w:div>
    <w:div w:id="698816870">
      <w:bodyDiv w:val="1"/>
      <w:marLeft w:val="0"/>
      <w:marRight w:val="0"/>
      <w:marTop w:val="0"/>
      <w:marBottom w:val="0"/>
      <w:divBdr>
        <w:top w:val="none" w:sz="0" w:space="0" w:color="auto"/>
        <w:left w:val="none" w:sz="0" w:space="0" w:color="auto"/>
        <w:bottom w:val="none" w:sz="0" w:space="0" w:color="auto"/>
        <w:right w:val="none" w:sz="0" w:space="0" w:color="auto"/>
      </w:divBdr>
    </w:div>
    <w:div w:id="833641529">
      <w:bodyDiv w:val="1"/>
      <w:marLeft w:val="0"/>
      <w:marRight w:val="0"/>
      <w:marTop w:val="0"/>
      <w:marBottom w:val="0"/>
      <w:divBdr>
        <w:top w:val="none" w:sz="0" w:space="0" w:color="auto"/>
        <w:left w:val="none" w:sz="0" w:space="0" w:color="auto"/>
        <w:bottom w:val="none" w:sz="0" w:space="0" w:color="auto"/>
        <w:right w:val="none" w:sz="0" w:space="0" w:color="auto"/>
      </w:divBdr>
    </w:div>
    <w:div w:id="851334269">
      <w:bodyDiv w:val="1"/>
      <w:marLeft w:val="0"/>
      <w:marRight w:val="0"/>
      <w:marTop w:val="0"/>
      <w:marBottom w:val="0"/>
      <w:divBdr>
        <w:top w:val="none" w:sz="0" w:space="0" w:color="auto"/>
        <w:left w:val="none" w:sz="0" w:space="0" w:color="auto"/>
        <w:bottom w:val="none" w:sz="0" w:space="0" w:color="auto"/>
        <w:right w:val="none" w:sz="0" w:space="0" w:color="auto"/>
      </w:divBdr>
    </w:div>
    <w:div w:id="995498435">
      <w:bodyDiv w:val="1"/>
      <w:marLeft w:val="0"/>
      <w:marRight w:val="0"/>
      <w:marTop w:val="0"/>
      <w:marBottom w:val="0"/>
      <w:divBdr>
        <w:top w:val="none" w:sz="0" w:space="0" w:color="auto"/>
        <w:left w:val="none" w:sz="0" w:space="0" w:color="auto"/>
        <w:bottom w:val="none" w:sz="0" w:space="0" w:color="auto"/>
        <w:right w:val="none" w:sz="0" w:space="0" w:color="auto"/>
      </w:divBdr>
    </w:div>
    <w:div w:id="1822191625">
      <w:bodyDiv w:val="1"/>
      <w:marLeft w:val="0"/>
      <w:marRight w:val="0"/>
      <w:marTop w:val="0"/>
      <w:marBottom w:val="0"/>
      <w:divBdr>
        <w:top w:val="none" w:sz="0" w:space="0" w:color="auto"/>
        <w:left w:val="none" w:sz="0" w:space="0" w:color="auto"/>
        <w:bottom w:val="none" w:sz="0" w:space="0" w:color="auto"/>
        <w:right w:val="none" w:sz="0" w:space="0" w:color="auto"/>
      </w:divBdr>
    </w:div>
    <w:div w:id="1974825392">
      <w:bodyDiv w:val="1"/>
      <w:marLeft w:val="0"/>
      <w:marRight w:val="0"/>
      <w:marTop w:val="0"/>
      <w:marBottom w:val="0"/>
      <w:divBdr>
        <w:top w:val="none" w:sz="0" w:space="0" w:color="auto"/>
        <w:left w:val="none" w:sz="0" w:space="0" w:color="auto"/>
        <w:bottom w:val="none" w:sz="0" w:space="0" w:color="auto"/>
        <w:right w:val="none" w:sz="0" w:space="0" w:color="auto"/>
      </w:divBdr>
    </w:div>
    <w:div w:id="1982735977">
      <w:bodyDiv w:val="1"/>
      <w:marLeft w:val="0"/>
      <w:marRight w:val="0"/>
      <w:marTop w:val="0"/>
      <w:marBottom w:val="0"/>
      <w:divBdr>
        <w:top w:val="none" w:sz="0" w:space="0" w:color="auto"/>
        <w:left w:val="none" w:sz="0" w:space="0" w:color="auto"/>
        <w:bottom w:val="none" w:sz="0" w:space="0" w:color="auto"/>
        <w:right w:val="none" w:sz="0" w:space="0" w:color="auto"/>
      </w:divBdr>
    </w:div>
    <w:div w:id="20372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 José Luis</dc:creator>
  <cp:keywords/>
  <dc:description/>
  <cp:lastModifiedBy>Roberto</cp:lastModifiedBy>
  <cp:revision>2</cp:revision>
  <dcterms:created xsi:type="dcterms:W3CDTF">2020-08-30T12:59:00Z</dcterms:created>
  <dcterms:modified xsi:type="dcterms:W3CDTF">2020-08-30T12:59:00Z</dcterms:modified>
</cp:coreProperties>
</file>